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CD" w:rsidRPr="000E06CD" w:rsidRDefault="000E06CD" w:rsidP="000E06CD">
      <w:pPr>
        <w:spacing w:after="0" w:line="240" w:lineRule="auto"/>
        <w:jc w:val="center"/>
        <w:textAlignment w:val="baseline"/>
        <w:rPr>
          <w:rFonts w:ascii="Arial" w:eastAsia="Times New Roman" w:hAnsi="Arial" w:cs="Arial"/>
          <w:color w:val="333333"/>
          <w:sz w:val="21"/>
          <w:szCs w:val="21"/>
          <w:lang w:eastAsia="ru-RU"/>
        </w:rPr>
      </w:pPr>
      <w:r w:rsidRPr="000E06CD">
        <w:rPr>
          <w:rFonts w:ascii="inherit" w:eastAsia="Times New Roman" w:hAnsi="inherit" w:cs="Arial"/>
          <w:b/>
          <w:bCs/>
          <w:color w:val="333333"/>
          <w:sz w:val="21"/>
          <w:szCs w:val="21"/>
          <w:u w:val="single"/>
          <w:bdr w:val="none" w:sz="0" w:space="0" w:color="auto" w:frame="1"/>
          <w:lang w:eastAsia="ru-RU"/>
        </w:rPr>
        <w:t>УСЛОВИЯ НАЗНАЧЕНИЯ ПЕНСИИ ПО ИНВАЛИДНОСТИ</w:t>
      </w:r>
    </w:p>
    <w:p w:rsidR="000E06CD" w:rsidRPr="000E06CD" w:rsidRDefault="000E06CD" w:rsidP="000E06CD">
      <w:pPr>
        <w:spacing w:after="225" w:line="240" w:lineRule="auto"/>
        <w:textAlignment w:val="baseline"/>
        <w:rPr>
          <w:rFonts w:ascii="Arial" w:eastAsia="Times New Roman" w:hAnsi="Arial" w:cs="Arial"/>
          <w:color w:val="333333"/>
          <w:sz w:val="21"/>
          <w:szCs w:val="21"/>
          <w:lang w:eastAsia="ru-RU"/>
        </w:rPr>
      </w:pPr>
      <w:r w:rsidRPr="000E06CD">
        <w:rPr>
          <w:rFonts w:ascii="Arial" w:eastAsia="Times New Roman" w:hAnsi="Arial" w:cs="Arial"/>
          <w:color w:val="333333"/>
          <w:sz w:val="21"/>
          <w:szCs w:val="21"/>
          <w:lang w:eastAsia="ru-RU"/>
        </w:rPr>
        <w:t>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w:t>
      </w:r>
    </w:p>
    <w:tbl>
      <w:tblPr>
        <w:tblW w:w="11625" w:type="dxa"/>
        <w:jc w:val="center"/>
        <w:tblCellMar>
          <w:left w:w="0" w:type="dxa"/>
          <w:right w:w="0" w:type="dxa"/>
        </w:tblCellMar>
        <w:tblLook w:val="04A0" w:firstRow="1" w:lastRow="0" w:firstColumn="1" w:lastColumn="0" w:noHBand="0" w:noVBand="1"/>
      </w:tblPr>
      <w:tblGrid>
        <w:gridCol w:w="7163"/>
        <w:gridCol w:w="4462"/>
      </w:tblGrid>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Возраст</w:t>
            </w:r>
          </w:p>
        </w:tc>
        <w:tc>
          <w:tcPr>
            <w:tcW w:w="190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Стаж работы (в годах)</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До достижения 23 лет</w:t>
            </w:r>
          </w:p>
        </w:tc>
        <w:tc>
          <w:tcPr>
            <w:tcW w:w="190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1</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23 лет до достижения 26 лет</w:t>
            </w:r>
          </w:p>
        </w:tc>
        <w:tc>
          <w:tcPr>
            <w:tcW w:w="190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2</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26 лет до достижения 31 года</w:t>
            </w:r>
          </w:p>
        </w:tc>
        <w:tc>
          <w:tcPr>
            <w:tcW w:w="190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3</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31 года до достижения 36 лет</w:t>
            </w:r>
          </w:p>
        </w:tc>
        <w:tc>
          <w:tcPr>
            <w:tcW w:w="190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5</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36 лет до достижения 41 года</w:t>
            </w:r>
          </w:p>
        </w:tc>
        <w:tc>
          <w:tcPr>
            <w:tcW w:w="190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7</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41 года до достижения 46 лет</w:t>
            </w:r>
          </w:p>
        </w:tc>
        <w:tc>
          <w:tcPr>
            <w:tcW w:w="190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9</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46 лет до достижения 51 года</w:t>
            </w:r>
          </w:p>
        </w:tc>
        <w:tc>
          <w:tcPr>
            <w:tcW w:w="190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11</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51 года до достижения 56 лет</w:t>
            </w:r>
          </w:p>
        </w:tc>
        <w:tc>
          <w:tcPr>
            <w:tcW w:w="190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13</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56 лет до достижения 61 года</w:t>
            </w:r>
          </w:p>
        </w:tc>
        <w:tc>
          <w:tcPr>
            <w:tcW w:w="1900" w:type="pct"/>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14</w:t>
            </w:r>
          </w:p>
        </w:tc>
      </w:tr>
      <w:tr w:rsidR="000E06CD" w:rsidRPr="000E06CD" w:rsidTr="000E06CD">
        <w:trPr>
          <w:jc w:val="center"/>
        </w:trPr>
        <w:tc>
          <w:tcPr>
            <w:tcW w:w="305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От 61 года и старше</w:t>
            </w:r>
          </w:p>
        </w:tc>
        <w:tc>
          <w:tcPr>
            <w:tcW w:w="1900" w:type="pct"/>
            <w:tcBorders>
              <w:top w:val="single" w:sz="6" w:space="0" w:color="DDDDDD"/>
              <w:left w:val="outset" w:sz="2" w:space="0" w:color="auto"/>
              <w:bottom w:val="outset" w:sz="2" w:space="0" w:color="auto"/>
              <w:right w:val="outset" w:sz="2" w:space="0" w:color="auto"/>
            </w:tcBorders>
            <w:shd w:val="clear" w:color="auto" w:fill="F9F9F9"/>
            <w:tcMar>
              <w:top w:w="120" w:type="dxa"/>
              <w:left w:w="120" w:type="dxa"/>
              <w:bottom w:w="120" w:type="dxa"/>
              <w:right w:w="120" w:type="dxa"/>
            </w:tcMar>
            <w:hideMark/>
          </w:tcPr>
          <w:p w:rsidR="000E06CD" w:rsidRPr="000E06CD" w:rsidRDefault="000E06CD" w:rsidP="000E06CD">
            <w:pPr>
              <w:spacing w:after="0" w:line="240" w:lineRule="auto"/>
              <w:jc w:val="center"/>
              <w:rPr>
                <w:rFonts w:ascii="inherit" w:eastAsia="Times New Roman" w:hAnsi="inherit" w:cs="Times New Roman"/>
                <w:sz w:val="24"/>
                <w:szCs w:val="24"/>
                <w:lang w:eastAsia="ru-RU"/>
              </w:rPr>
            </w:pPr>
            <w:r w:rsidRPr="000E06CD">
              <w:rPr>
                <w:rFonts w:ascii="inherit" w:eastAsia="Times New Roman" w:hAnsi="inherit" w:cs="Times New Roman"/>
                <w:sz w:val="24"/>
                <w:szCs w:val="24"/>
                <w:lang w:eastAsia="ru-RU"/>
              </w:rPr>
              <w:t>15</w:t>
            </w:r>
          </w:p>
        </w:tc>
      </w:tr>
    </w:tbl>
    <w:p w:rsidR="000E06CD" w:rsidRPr="000E06CD" w:rsidRDefault="000E06CD" w:rsidP="000E06CD">
      <w:pPr>
        <w:spacing w:after="225" w:line="240" w:lineRule="auto"/>
        <w:textAlignment w:val="baseline"/>
        <w:rPr>
          <w:rFonts w:ascii="Arial" w:eastAsia="Times New Roman" w:hAnsi="Arial" w:cs="Arial"/>
          <w:color w:val="333333"/>
          <w:sz w:val="21"/>
          <w:szCs w:val="21"/>
          <w:lang w:eastAsia="ru-RU"/>
        </w:rPr>
      </w:pPr>
      <w:r w:rsidRPr="000E06CD">
        <w:rPr>
          <w:rFonts w:ascii="Arial" w:eastAsia="Times New Roman" w:hAnsi="Arial" w:cs="Arial"/>
          <w:color w:val="333333"/>
          <w:sz w:val="21"/>
          <w:szCs w:val="21"/>
          <w:lang w:eastAsia="ru-RU"/>
        </w:rPr>
        <w:t>Лицам, ставшим инвалидами до достижения 20 лет в период работы, предпринимательской, творческой и иной деятельности или после ее прекращения, пенсии назначаются независимо от наличия стажа работы.</w:t>
      </w:r>
    </w:p>
    <w:p w:rsidR="000E06CD" w:rsidRPr="000E06CD" w:rsidRDefault="000E06CD" w:rsidP="000E06CD">
      <w:pPr>
        <w:spacing w:after="225" w:line="240" w:lineRule="auto"/>
        <w:textAlignment w:val="baseline"/>
        <w:rPr>
          <w:rFonts w:ascii="Arial" w:eastAsia="Times New Roman" w:hAnsi="Arial" w:cs="Arial"/>
          <w:color w:val="333333"/>
          <w:sz w:val="21"/>
          <w:szCs w:val="21"/>
          <w:lang w:eastAsia="ru-RU"/>
        </w:rPr>
      </w:pPr>
      <w:r w:rsidRPr="000E06CD">
        <w:rPr>
          <w:rFonts w:ascii="Arial" w:eastAsia="Times New Roman" w:hAnsi="Arial" w:cs="Arial"/>
          <w:color w:val="333333"/>
          <w:sz w:val="21"/>
          <w:szCs w:val="21"/>
          <w:lang w:eastAsia="ru-RU"/>
        </w:rPr>
        <w:t>Инвалидам I, II групп, которые не имеют достаточного для назначения полной пенсии стажа работы, назначается пенсия по инвалидности при неполном стаже работы.</w:t>
      </w:r>
    </w:p>
    <w:p w:rsidR="000E06CD" w:rsidRPr="000E06CD" w:rsidRDefault="000E06CD" w:rsidP="000E06CD">
      <w:pPr>
        <w:spacing w:after="0" w:line="240" w:lineRule="auto"/>
        <w:textAlignment w:val="baseline"/>
        <w:rPr>
          <w:rFonts w:ascii="Arial" w:eastAsia="Times New Roman" w:hAnsi="Arial" w:cs="Arial"/>
          <w:color w:val="333333"/>
          <w:sz w:val="21"/>
          <w:szCs w:val="21"/>
          <w:lang w:eastAsia="ru-RU"/>
        </w:rPr>
      </w:pPr>
      <w:r w:rsidRPr="000E06CD">
        <w:rPr>
          <w:rFonts w:ascii="inherit" w:eastAsia="Times New Roman" w:hAnsi="inherit" w:cs="Arial"/>
          <w:b/>
          <w:bCs/>
          <w:i/>
          <w:iCs/>
          <w:color w:val="333333"/>
          <w:sz w:val="21"/>
          <w:szCs w:val="21"/>
          <w:bdr w:val="none" w:sz="0" w:space="0" w:color="auto" w:frame="1"/>
          <w:lang w:eastAsia="ru-RU"/>
        </w:rPr>
        <w:t>Пенсии по инвалидности, наступившей вследствие увечья или заболевания, вызванного катастрофой на Чернобыльской АЭС, другими радиационными авариями</w:t>
      </w:r>
      <w:r w:rsidRPr="000E06CD">
        <w:rPr>
          <w:rFonts w:ascii="Arial" w:eastAsia="Times New Roman" w:hAnsi="Arial" w:cs="Arial"/>
          <w:color w:val="333333"/>
          <w:sz w:val="21"/>
          <w:szCs w:val="21"/>
          <w:lang w:eastAsia="ru-RU"/>
        </w:rPr>
        <w:t>,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 трудоспособности. Пенсии по инвалидности ЧАЭС по желанию обратившегося за пенсией могут быть назначены в размерах, определенных общими нормами пенсионного законодательства Республики Беларусь</w:t>
      </w:r>
    </w:p>
    <w:p w:rsidR="000E06CD" w:rsidRPr="000E06CD" w:rsidRDefault="000E06CD" w:rsidP="000E06CD">
      <w:pPr>
        <w:spacing w:after="0" w:line="240" w:lineRule="auto"/>
        <w:jc w:val="center"/>
        <w:textAlignment w:val="baseline"/>
        <w:rPr>
          <w:rFonts w:ascii="Arial" w:eastAsia="Times New Roman" w:hAnsi="Arial" w:cs="Arial"/>
          <w:color w:val="333333"/>
          <w:sz w:val="21"/>
          <w:szCs w:val="21"/>
          <w:lang w:eastAsia="ru-RU"/>
        </w:rPr>
      </w:pPr>
      <w:r w:rsidRPr="000E06CD">
        <w:rPr>
          <w:rFonts w:ascii="inherit" w:eastAsia="Times New Roman" w:hAnsi="inherit" w:cs="Arial"/>
          <w:b/>
          <w:bCs/>
          <w:color w:val="333333"/>
          <w:sz w:val="21"/>
          <w:szCs w:val="21"/>
          <w:bdr w:val="none" w:sz="0" w:space="0" w:color="auto" w:frame="1"/>
          <w:lang w:eastAsia="ru-RU"/>
        </w:rPr>
        <w:t>ДОКУМЕНТЫ, КОТОРЫЕ НЕОБХОДИМО ПРЕДСТАВИТЬ ЗАЯВИТЕЛЮ ДЛЯ НАЗНАЧЕНИЯ ПЕНСИИ ПО ИНВАЛИДНОСТИ</w:t>
      </w:r>
    </w:p>
    <w:p w:rsidR="000E06CD" w:rsidRPr="000E06CD" w:rsidRDefault="000E06CD" w:rsidP="000E06CD">
      <w:pPr>
        <w:spacing w:after="225" w:line="240" w:lineRule="auto"/>
        <w:textAlignment w:val="baseline"/>
        <w:rPr>
          <w:rFonts w:ascii="Arial" w:eastAsia="Times New Roman" w:hAnsi="Arial" w:cs="Arial"/>
          <w:color w:val="333333"/>
          <w:sz w:val="21"/>
          <w:szCs w:val="21"/>
          <w:lang w:eastAsia="ru-RU"/>
        </w:rPr>
      </w:pPr>
      <w:r w:rsidRPr="000E06CD">
        <w:rPr>
          <w:rFonts w:ascii="Arial" w:eastAsia="Times New Roman" w:hAnsi="Arial" w:cs="Arial"/>
          <w:color w:val="333333"/>
          <w:sz w:val="21"/>
          <w:szCs w:val="21"/>
          <w:lang w:eastAsia="ru-RU"/>
        </w:rPr>
        <w:t>При обращении за назначением пенсии заявитель предъявляет документ, удостоверяющий личность, возраст, место жительства и гражданство (паспорт гражданина Республики Беларусь, справку установленной формы, выдаваемую органом внутренних дел по месту жительства взамен утерянного паспорта, вид на жительство в Республике Беларусь, удостоверение беженца, идентификационная карта гражданина Республики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
    <w:p w:rsidR="000E06CD" w:rsidRPr="000E06CD" w:rsidRDefault="000E06CD" w:rsidP="000E06CD">
      <w:pPr>
        <w:spacing w:after="225" w:line="240" w:lineRule="auto"/>
        <w:textAlignment w:val="baseline"/>
        <w:rPr>
          <w:rFonts w:ascii="Arial" w:eastAsia="Times New Roman" w:hAnsi="Arial" w:cs="Arial"/>
          <w:color w:val="333333"/>
          <w:sz w:val="21"/>
          <w:szCs w:val="21"/>
          <w:lang w:eastAsia="ru-RU"/>
        </w:rPr>
      </w:pPr>
      <w:r w:rsidRPr="000E06CD">
        <w:rPr>
          <w:rFonts w:ascii="Arial" w:eastAsia="Times New Roman" w:hAnsi="Arial" w:cs="Arial"/>
          <w:color w:val="333333"/>
          <w:sz w:val="21"/>
          <w:szCs w:val="21"/>
          <w:lang w:eastAsia="ru-RU"/>
        </w:rPr>
        <w:t>К заявлению о назначении пенсии по инвалидности должны быть приложены:</w:t>
      </w:r>
    </w:p>
    <w:p w:rsidR="000E06CD" w:rsidRPr="000E06CD" w:rsidRDefault="000E06CD" w:rsidP="000E06CD">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документы, подтверждающие стаж работы: трудовая книжка, свидетельства о рождении детей, военный билет, документы об обучении в дневной форме получения образования в учреждениях, обеспечивающих получение профессионально-</w:t>
      </w:r>
      <w:r w:rsidRPr="000E06CD">
        <w:rPr>
          <w:rFonts w:ascii="Arial" w:eastAsia="Times New Roman" w:hAnsi="Arial" w:cs="Arial"/>
          <w:color w:val="1F1F1F"/>
          <w:sz w:val="21"/>
          <w:szCs w:val="21"/>
          <w:lang w:eastAsia="ru-RU"/>
        </w:rPr>
        <w:lastRenderedPageBreak/>
        <w:t>технического, среднего специального и высшего образования, повышение квалификации и переподготовку кадров, а также в аспирантуре, клинической ординатуре, докторантуре, справка о периоде получения пособия по безработице и т.д. (периоды, засчитываемые в стаж для назначения пенсии указаны в статье 51 Закона Республики Беларусь "О пенсионном обеспечении"), а при необходимости, подтверждающие специальный стаж работы(справки установленной формы);</w:t>
      </w:r>
    </w:p>
    <w:p w:rsidR="000E06CD" w:rsidRPr="000E06CD" w:rsidRDefault="000E06CD" w:rsidP="000E06CD">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справка о заработке за последние 30 лет подряд стажа работы (для граждан, назначающих пенсию в 2024 году);</w:t>
      </w:r>
    </w:p>
    <w:p w:rsidR="000E06CD" w:rsidRPr="000E06CD" w:rsidRDefault="000E06CD" w:rsidP="000E06CD">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страховое свидетельство государственного социального страхования (для лиц, работавших после 1 января 2003 г.).</w:t>
      </w:r>
    </w:p>
    <w:p w:rsidR="000E06CD" w:rsidRPr="000E06CD" w:rsidRDefault="000E06CD" w:rsidP="000E06CD">
      <w:pPr>
        <w:spacing w:after="225" w:line="240" w:lineRule="auto"/>
        <w:textAlignment w:val="baseline"/>
        <w:rPr>
          <w:rFonts w:ascii="Arial" w:eastAsia="Times New Roman" w:hAnsi="Arial" w:cs="Arial"/>
          <w:color w:val="333333"/>
          <w:sz w:val="21"/>
          <w:szCs w:val="21"/>
          <w:lang w:eastAsia="ru-RU"/>
        </w:rPr>
      </w:pPr>
      <w:r w:rsidRPr="000E06CD">
        <w:rPr>
          <w:rFonts w:ascii="Arial" w:eastAsia="Times New Roman" w:hAnsi="Arial" w:cs="Arial"/>
          <w:color w:val="333333"/>
          <w:sz w:val="21"/>
          <w:szCs w:val="21"/>
          <w:lang w:eastAsia="ru-RU"/>
        </w:rPr>
        <w:t>В необходимых случаях представляются:</w:t>
      </w:r>
    </w:p>
    <w:p w:rsidR="000E06CD" w:rsidRPr="000E06CD" w:rsidRDefault="000E06CD" w:rsidP="000E06CD">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документы, удостоверяющие право заявителя на надбавку и (или) повышение пенсии;</w:t>
      </w:r>
    </w:p>
    <w:p w:rsidR="000E06CD" w:rsidRPr="000E06CD" w:rsidRDefault="000E06CD" w:rsidP="000E06CD">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справка жилищно-эксплуатационной организации или сельского (поселкового) Совета депутатов о составе семьи (для решения вопроса о признании заявителя одиноким);</w:t>
      </w:r>
    </w:p>
    <w:p w:rsidR="000E06CD" w:rsidRPr="000E06CD" w:rsidRDefault="000E06CD" w:rsidP="000E06CD">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документы, удостоверяющие право заявителя на надбавку и (или) повышение пенсии;</w:t>
      </w:r>
    </w:p>
    <w:p w:rsidR="000E06CD" w:rsidRPr="000E06CD" w:rsidRDefault="000E06CD" w:rsidP="000E06CD">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документы о присвоении почетного звания "Мать-героиня";</w:t>
      </w:r>
    </w:p>
    <w:p w:rsidR="000E06CD" w:rsidRPr="000E06CD" w:rsidRDefault="000E06CD" w:rsidP="000E06CD">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документ, содержащий сведения о не назначении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 - в отношении лиц, имеющих право на ежемесячную страховую выплату;</w:t>
      </w:r>
    </w:p>
    <w:p w:rsidR="000E06CD" w:rsidRPr="000E06CD" w:rsidRDefault="000E06CD" w:rsidP="000E06CD">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0E06CD">
        <w:rPr>
          <w:rFonts w:ascii="Arial" w:eastAsia="Times New Roman" w:hAnsi="Arial" w:cs="Arial"/>
          <w:color w:val="1F1F1F"/>
          <w:sz w:val="21"/>
          <w:szCs w:val="21"/>
          <w:lang w:eastAsia="ru-RU"/>
        </w:rPr>
        <w:t>документ, содержащий сведения о нахождении инвалида на государственном обеспечении.</w:t>
      </w:r>
    </w:p>
    <w:p w:rsidR="00520D5E" w:rsidRDefault="00520D5E">
      <w:bookmarkStart w:id="0" w:name="_GoBack"/>
      <w:bookmarkEnd w:id="0"/>
    </w:p>
    <w:sectPr w:rsidR="00520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11768"/>
    <w:multiLevelType w:val="multilevel"/>
    <w:tmpl w:val="6120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B26436"/>
    <w:multiLevelType w:val="multilevel"/>
    <w:tmpl w:val="709C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CD"/>
    <w:rsid w:val="000E06CD"/>
    <w:rsid w:val="0052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6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6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2024-11-22T08:35:00Z</dcterms:created>
  <dcterms:modified xsi:type="dcterms:W3CDTF">2024-11-22T08:35:00Z</dcterms:modified>
</cp:coreProperties>
</file>